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1" w:rsidRPr="004C2FC1" w:rsidRDefault="00193F9A" w:rsidP="004C2FC1">
      <w:pPr>
        <w:spacing w:after="0" w:line="240" w:lineRule="auto"/>
        <w:outlineLvl w:val="1"/>
        <w:rPr>
          <w:b/>
          <w:u w:val="single"/>
        </w:rPr>
      </w:pPr>
      <w:r>
        <w:rPr>
          <w:b/>
          <w:u w:val="single"/>
        </w:rPr>
        <w:t xml:space="preserve">Appendix </w:t>
      </w:r>
      <w:r w:rsidR="00E83D91">
        <w:rPr>
          <w:b/>
          <w:u w:val="single"/>
        </w:rPr>
        <w:t>6</w:t>
      </w:r>
      <w:r w:rsidR="00B06595">
        <w:rPr>
          <w:b/>
          <w:u w:val="single"/>
        </w:rPr>
        <w:t xml:space="preserve">: </w:t>
      </w:r>
    </w:p>
    <w:p w:rsidR="00E83D91" w:rsidRPr="00E83D91" w:rsidRDefault="00E83D91" w:rsidP="00E83D9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>Methods of evaluation</w:t>
      </w:r>
    </w:p>
    <w:tbl>
      <w:tblPr>
        <w:tblStyle w:val="TableGrid"/>
        <w:tblW w:w="8969" w:type="dxa"/>
        <w:tblLayout w:type="fixed"/>
        <w:tblLook w:val="04A0" w:firstRow="1" w:lastRow="0" w:firstColumn="1" w:lastColumn="0" w:noHBand="0" w:noVBand="1"/>
      </w:tblPr>
      <w:tblGrid>
        <w:gridCol w:w="2376"/>
        <w:gridCol w:w="2340"/>
        <w:gridCol w:w="2268"/>
        <w:gridCol w:w="1985"/>
      </w:tblGrid>
      <w:tr w:rsidR="00E83D91" w:rsidRPr="0091210E" w:rsidTr="00171A07">
        <w:trPr>
          <w:tblHeader/>
        </w:trPr>
        <w:tc>
          <w:tcPr>
            <w:tcW w:w="2376" w:type="dxa"/>
          </w:tcPr>
          <w:p w:rsidR="00E83D91" w:rsidRPr="0091210E" w:rsidRDefault="00E83D91" w:rsidP="009E5BF6">
            <w:pPr>
              <w:spacing w:before="100" w:beforeAutospacing="1" w:after="100" w:afterAutospacing="1"/>
              <w:ind w:left="-142" w:firstLine="142"/>
              <w:rPr>
                <w:rFonts w:eastAsia="Times New Roman"/>
                <w:b/>
                <w:lang w:val="en" w:eastAsia="en-GB"/>
              </w:rPr>
            </w:pPr>
            <w:r w:rsidRPr="0091210E">
              <w:rPr>
                <w:rFonts w:eastAsia="Times New Roman"/>
                <w:b/>
                <w:lang w:val="en" w:eastAsia="en-GB"/>
              </w:rPr>
              <w:t>Method of measuring impact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b/>
                <w:lang w:val="en" w:eastAsia="en-GB"/>
              </w:rPr>
            </w:pPr>
            <w:r w:rsidRPr="0091210E">
              <w:rPr>
                <w:rFonts w:eastAsia="Times New Roman"/>
                <w:b/>
                <w:lang w:val="en" w:eastAsia="en-GB"/>
              </w:rPr>
              <w:t>Strength</w:t>
            </w: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b/>
                <w:lang w:val="en" w:eastAsia="en-GB"/>
              </w:rPr>
            </w:pPr>
            <w:r w:rsidRPr="0091210E">
              <w:rPr>
                <w:rFonts w:eastAsia="Times New Roman"/>
                <w:b/>
                <w:lang w:val="en" w:eastAsia="en-GB"/>
              </w:rPr>
              <w:t>Things to be aware of</w:t>
            </w: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b/>
                <w:lang w:val="en" w:eastAsia="en-GB"/>
              </w:rPr>
            </w:pPr>
            <w:r w:rsidRPr="0091210E">
              <w:rPr>
                <w:rFonts w:eastAsia="Times New Roman"/>
                <w:b/>
                <w:lang w:val="en" w:eastAsia="en-GB"/>
              </w:rPr>
              <w:t xml:space="preserve">Examples </w:t>
            </w: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Annual appraisal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Includes all employees</w:t>
            </w:r>
          </w:p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Could be difficult to measure individual actions</w:t>
            </w:r>
          </w:p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Reliant on line managers to monitor</w:t>
            </w:r>
          </w:p>
        </w:tc>
        <w:tc>
          <w:tcPr>
            <w:tcW w:w="1985" w:type="dxa"/>
          </w:tcPr>
          <w:p w:rsidR="00E83D91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All employees set themselves an action around safeguarding or include a corporate action within their appraisal.</w:t>
            </w:r>
          </w:p>
          <w:p w:rsidR="00E83D91" w:rsidRPr="00E83D91" w:rsidRDefault="00E83D91" w:rsidP="009E5BF6">
            <w:pPr>
              <w:spacing w:before="100" w:beforeAutospacing="1" w:after="100" w:afterAutospacing="1"/>
              <w:rPr>
                <w:rFonts w:eastAsia="Times New Roman"/>
                <w:sz w:val="4"/>
                <w:szCs w:val="4"/>
                <w:lang w:val="en" w:eastAsia="en-GB"/>
              </w:rPr>
            </w:pP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en-GB"/>
              </w:rPr>
              <w:t>One to one or group supervision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  <w:tc>
          <w:tcPr>
            <w:tcW w:w="1985" w:type="dxa"/>
          </w:tcPr>
          <w:p w:rsidR="00E83D91" w:rsidRPr="0091210E" w:rsidRDefault="00AD23F9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hyperlink r:id="rId9" w:history="1">
              <w:proofErr w:type="spellStart"/>
              <w:r w:rsidR="007242C4" w:rsidRPr="00205F60">
                <w:rPr>
                  <w:rStyle w:val="Hyperlink"/>
                  <w:rFonts w:eastAsia="Times New Roman"/>
                  <w:lang w:val="en" w:eastAsia="en-GB"/>
                </w:rPr>
                <w:t>ECL</w:t>
              </w:r>
              <w:proofErr w:type="spellEnd"/>
              <w:r w:rsidR="007242C4" w:rsidRPr="00205F60">
                <w:rPr>
                  <w:rStyle w:val="Hyperlink"/>
                  <w:rFonts w:eastAsia="Times New Roman"/>
                  <w:lang w:val="en" w:eastAsia="en-GB"/>
                </w:rPr>
                <w:t xml:space="preserve"> Supervision Record Form</w:t>
              </w:r>
            </w:hyperlink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Post course evaluation/post it notes</w:t>
            </w:r>
          </w:p>
        </w:tc>
        <w:tc>
          <w:tcPr>
            <w:tcW w:w="2340" w:type="dxa"/>
          </w:tcPr>
          <w:p w:rsidR="00E83D91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Gives an immediate feeling about what the individual enjoyed/disliked about the course</w:t>
            </w:r>
          </w:p>
          <w:p w:rsidR="00E83D91" w:rsidRPr="00E83D91" w:rsidRDefault="00E83D91" w:rsidP="00E83D91">
            <w:pPr>
              <w:spacing w:before="100" w:beforeAutospacing="1" w:after="100" w:afterAutospacing="1"/>
              <w:rPr>
                <w:rFonts w:eastAsia="Times New Roman"/>
                <w:sz w:val="4"/>
                <w:szCs w:val="4"/>
                <w:lang w:val="en" w:eastAsia="en-GB"/>
              </w:rPr>
            </w:pP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Is not able to say whether practice has changed as a result of the training</w:t>
            </w: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Pre, post and 6 weeks post evaluation</w:t>
            </w:r>
          </w:p>
        </w:tc>
        <w:tc>
          <w:tcPr>
            <w:tcW w:w="2340" w:type="dxa"/>
          </w:tcPr>
          <w:p w:rsidR="00E83D91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Can give an indication on whether the training has been taken back to the workplace</w:t>
            </w:r>
            <w:r>
              <w:rPr>
                <w:rFonts w:eastAsia="Times New Roman"/>
                <w:lang w:val="en" w:eastAsia="en-GB"/>
              </w:rPr>
              <w:t>, any changes to practice and enable further follow up at a later stage which would support the development of a case study for that learner’s journey</w:t>
            </w:r>
          </w:p>
          <w:p w:rsidR="00E83D91" w:rsidRPr="00E83D91" w:rsidRDefault="00E83D91" w:rsidP="009E5BF6">
            <w:pPr>
              <w:spacing w:before="100" w:beforeAutospacing="1" w:after="100" w:afterAutospacing="1"/>
              <w:rPr>
                <w:rFonts w:eastAsia="Times New Roman"/>
                <w:sz w:val="4"/>
                <w:szCs w:val="4"/>
                <w:lang w:val="en" w:eastAsia="en-GB"/>
              </w:rPr>
            </w:pP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Often there is a low take up 6 weeks post course</w:t>
            </w:r>
          </w:p>
        </w:tc>
        <w:tc>
          <w:tcPr>
            <w:tcW w:w="1985" w:type="dxa"/>
          </w:tcPr>
          <w:p w:rsidR="00E83D91" w:rsidRPr="007242C4" w:rsidRDefault="00405C71" w:rsidP="009E5BF6">
            <w:pPr>
              <w:spacing w:before="100" w:beforeAutospacing="1" w:after="100" w:afterAutospacing="1"/>
              <w:rPr>
                <w:rStyle w:val="Hyperlink"/>
              </w:rPr>
            </w:pPr>
            <w:hyperlink r:id="rId10" w:history="1">
              <w:r w:rsidR="00E83D91" w:rsidRPr="00405C71">
                <w:rPr>
                  <w:rStyle w:val="Hyperlink"/>
                  <w:rFonts w:eastAsia="Times New Roman"/>
                  <w:lang w:val="en" w:eastAsia="en-GB"/>
                </w:rPr>
                <w:t>Post course evaluation – example</w:t>
              </w:r>
            </w:hyperlink>
          </w:p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Audits of service</w:t>
            </w:r>
            <w:r w:rsidR="009D037B">
              <w:rPr>
                <w:rFonts w:eastAsia="Times New Roman"/>
                <w:lang w:val="en" w:eastAsia="en-GB"/>
              </w:rPr>
              <w:t xml:space="preserve"> </w:t>
            </w:r>
            <w:r w:rsidRPr="0091210E">
              <w:rPr>
                <w:rFonts w:eastAsia="Times New Roman"/>
                <w:lang w:val="en" w:eastAsia="en-GB"/>
              </w:rPr>
              <w:t>-could be internal, th</w:t>
            </w:r>
            <w:r w:rsidR="009D037B">
              <w:rPr>
                <w:rFonts w:eastAsia="Times New Roman"/>
                <w:lang w:val="en" w:eastAsia="en-GB"/>
              </w:rPr>
              <w:t>r</w:t>
            </w:r>
            <w:r w:rsidRPr="0091210E">
              <w:rPr>
                <w:rFonts w:eastAsia="Times New Roman"/>
                <w:lang w:val="en" w:eastAsia="en-GB"/>
              </w:rPr>
              <w:t>ough a regulator or S11/safeguarding adult audit</w:t>
            </w:r>
          </w:p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 xml:space="preserve">Gives an indication of the strengths and gaps in delivery and understanding. Helps to identify a process in practice and highlights themes  </w:t>
            </w: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 xml:space="preserve">The selection of cases for the audit may not always be reflective of common practice if selected randomly- particularly If the sample is very small. In cases where audits are </w:t>
            </w:r>
            <w:r w:rsidRPr="0091210E">
              <w:rPr>
                <w:rFonts w:eastAsia="Times New Roman"/>
                <w:lang w:val="en" w:eastAsia="en-GB"/>
              </w:rPr>
              <w:lastRenderedPageBreak/>
              <w:t xml:space="preserve">not case specific there are risks around engagement from all agencies </w:t>
            </w:r>
          </w:p>
        </w:tc>
        <w:tc>
          <w:tcPr>
            <w:tcW w:w="1985" w:type="dxa"/>
          </w:tcPr>
          <w:p w:rsidR="00E83D91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405C71">
              <w:rPr>
                <w:rFonts w:eastAsia="Times New Roman"/>
                <w:lang w:val="en" w:eastAsia="en-GB"/>
              </w:rPr>
              <w:lastRenderedPageBreak/>
              <w:t>Multi agency Survey or online forum</w:t>
            </w:r>
            <w:r w:rsidRPr="0091210E">
              <w:rPr>
                <w:rFonts w:eastAsia="Times New Roman"/>
                <w:lang w:val="en" w:eastAsia="en-GB"/>
              </w:rPr>
              <w:t xml:space="preserve"> </w:t>
            </w:r>
          </w:p>
          <w:p w:rsidR="00E83D91" w:rsidRDefault="00AD23F9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hyperlink r:id="rId11" w:history="1">
              <w:proofErr w:type="spellStart"/>
              <w:r w:rsidR="007242C4" w:rsidRPr="000D0A27">
                <w:rPr>
                  <w:rStyle w:val="Hyperlink"/>
                  <w:rFonts w:eastAsia="Times New Roman"/>
                  <w:lang w:val="en" w:eastAsia="en-GB"/>
                </w:rPr>
                <w:t>ECL</w:t>
              </w:r>
              <w:proofErr w:type="spellEnd"/>
              <w:r w:rsidR="007242C4" w:rsidRPr="000D0A27">
                <w:rPr>
                  <w:rStyle w:val="Hyperlink"/>
                  <w:rFonts w:eastAsia="Times New Roman"/>
                  <w:lang w:val="en" w:eastAsia="en-GB"/>
                </w:rPr>
                <w:t xml:space="preserve"> Staff Support and Record Q&amp;A</w:t>
              </w:r>
            </w:hyperlink>
          </w:p>
          <w:p w:rsidR="0071237C" w:rsidRDefault="0071237C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  <w:p w:rsidR="00112B65" w:rsidRPr="00112B65" w:rsidRDefault="00AD23F9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hyperlink r:id="rId12" w:history="1">
              <w:r w:rsidR="007242C4" w:rsidRPr="0071237C">
                <w:rPr>
                  <w:rStyle w:val="Hyperlink"/>
                  <w:rFonts w:eastAsia="Times New Roman"/>
                  <w:lang w:val="en" w:eastAsia="en-GB"/>
                </w:rPr>
                <w:t>ESCB &amp; ESAB Safeguarding Self-Assessment</w:t>
              </w:r>
            </w:hyperlink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lastRenderedPageBreak/>
              <w:t xml:space="preserve">Quiz or test at the end of the session </w:t>
            </w:r>
          </w:p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Gives an indication about what has been retained from the training session</w:t>
            </w: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 xml:space="preserve">Is not able to say whether practice has changed as a result of the training </w:t>
            </w: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  <w:bookmarkStart w:id="0" w:name="_GoBack"/>
        <w:bookmarkEnd w:id="0"/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 xml:space="preserve">Observation of practice 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  <w:tc>
          <w:tcPr>
            <w:tcW w:w="2268" w:type="dxa"/>
          </w:tcPr>
          <w:p w:rsidR="00E83D91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en-GB"/>
              </w:rPr>
              <w:t xml:space="preserve">May not be possible in all roles </w:t>
            </w:r>
          </w:p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en-GB"/>
              </w:rPr>
              <w:t>Capacity to undertake this in a meaningful way for all  staff</w:t>
            </w:r>
          </w:p>
        </w:tc>
        <w:tc>
          <w:tcPr>
            <w:tcW w:w="1985" w:type="dxa"/>
          </w:tcPr>
          <w:p w:rsidR="00E83D91" w:rsidRPr="0091210E" w:rsidRDefault="00AD23F9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hyperlink r:id="rId13" w:history="1">
              <w:proofErr w:type="spellStart"/>
              <w:r w:rsidR="007242C4" w:rsidRPr="0071237C">
                <w:rPr>
                  <w:rStyle w:val="Hyperlink"/>
                  <w:rFonts w:eastAsia="Times New Roman"/>
                  <w:lang w:val="en" w:eastAsia="en-GB"/>
                </w:rPr>
                <w:t>ECL</w:t>
              </w:r>
              <w:proofErr w:type="spellEnd"/>
              <w:r w:rsidR="007242C4" w:rsidRPr="0071237C">
                <w:rPr>
                  <w:rStyle w:val="Hyperlink"/>
                  <w:rFonts w:eastAsia="Times New Roman"/>
                  <w:lang w:val="en" w:eastAsia="en-GB"/>
                </w:rPr>
                <w:t xml:space="preserve"> Direct Observation Record</w:t>
              </w:r>
            </w:hyperlink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Case discussions at team meetings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 xml:space="preserve">Allows for detailed understanding with a combination of both quantitative  and qualitative information </w:t>
            </w: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 xml:space="preserve">There is a risk that strategic understanding is lost e.g. trends and overall themes </w:t>
            </w: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 xml:space="preserve">Case notes or detailed information packs </w:t>
            </w: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Case audits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See audits above</w:t>
            </w: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Safeguarding data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number of referrals/quality/appropriateness</w:t>
            </w:r>
          </w:p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Understanding the current scale in Essex, themes, trends and changes over time</w:t>
            </w: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 xml:space="preserve">Lacks qualitative, anecdotal information at a front line level and does not include hidden harms that are hard to quantify </w:t>
            </w: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Power</w:t>
            </w:r>
            <w:r>
              <w:rPr>
                <w:rFonts w:eastAsia="Times New Roman"/>
                <w:lang w:val="en" w:eastAsia="en-GB"/>
              </w:rPr>
              <w:t xml:space="preserve"> </w:t>
            </w:r>
            <w:r w:rsidRPr="0091210E">
              <w:rPr>
                <w:rFonts w:eastAsia="Times New Roman"/>
                <w:lang w:val="en" w:eastAsia="en-GB"/>
              </w:rPr>
              <w:t xml:space="preserve">point presentation, spreadsheet </w:t>
            </w: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Summary of lessons learned from recent cases</w:t>
            </w:r>
          </w:p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eastAsia="en-GB"/>
              </w:rPr>
              <w:t xml:space="preserve">Safeguarding lead produces summary of lessons learnt for safeguards raised with the organisation and these are shared with managers / encouraged to be </w:t>
            </w:r>
            <w:r w:rsidRPr="0091210E">
              <w:rPr>
                <w:rFonts w:eastAsia="Times New Roman"/>
                <w:lang w:eastAsia="en-GB"/>
              </w:rPr>
              <w:lastRenderedPageBreak/>
              <w:t>discussed at monthly team meetings.  These are on a quarterly basis or more frequent as required</w:t>
            </w: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en-GB"/>
              </w:rPr>
              <w:lastRenderedPageBreak/>
              <w:t xml:space="preserve">Ensuring the </w:t>
            </w:r>
            <w:proofErr w:type="spellStart"/>
            <w:r>
              <w:rPr>
                <w:rFonts w:eastAsia="Times New Roman"/>
                <w:lang w:val="en" w:eastAsia="en-GB"/>
              </w:rPr>
              <w:t>organisation</w:t>
            </w:r>
            <w:proofErr w:type="spellEnd"/>
            <w:r>
              <w:rPr>
                <w:rFonts w:eastAsia="Times New Roman"/>
                <w:lang w:val="en" w:eastAsia="en-GB"/>
              </w:rPr>
              <w:t xml:space="preserve"> can evidence that the learning has been embedded and that alterations to practice as a result </w:t>
            </w:r>
            <w:r>
              <w:rPr>
                <w:rFonts w:eastAsia="Times New Roman"/>
                <w:lang w:val="en" w:eastAsia="en-GB"/>
              </w:rPr>
              <w:lastRenderedPageBreak/>
              <w:t>of learning have been implemented</w:t>
            </w: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eastAsia="en-GB"/>
              </w:rPr>
              <w:lastRenderedPageBreak/>
              <w:t>Audit of staff knowledge on safeguarding children process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Action learning sets/Practice learning sets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val="en" w:eastAsia="en-GB"/>
              </w:rPr>
              <w:t>Peer reviews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</w:tr>
      <w:tr w:rsidR="00E83D91" w:rsidRPr="0091210E" w:rsidTr="00171A07">
        <w:tc>
          <w:tcPr>
            <w:tcW w:w="2376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91210E">
              <w:rPr>
                <w:rFonts w:eastAsia="Times New Roman"/>
                <w:lang w:eastAsia="en-GB"/>
              </w:rPr>
              <w:t>360 degree feedback</w:t>
            </w:r>
          </w:p>
        </w:tc>
        <w:tc>
          <w:tcPr>
            <w:tcW w:w="2340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  <w:tc>
          <w:tcPr>
            <w:tcW w:w="2268" w:type="dxa"/>
          </w:tcPr>
          <w:p w:rsidR="00E83D91" w:rsidRPr="0091210E" w:rsidRDefault="00E83D91" w:rsidP="009E5BF6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</w:p>
        </w:tc>
        <w:tc>
          <w:tcPr>
            <w:tcW w:w="1985" w:type="dxa"/>
          </w:tcPr>
          <w:p w:rsidR="00E83D91" w:rsidRPr="0091210E" w:rsidRDefault="00E83D91" w:rsidP="009E5BF6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</w:p>
        </w:tc>
      </w:tr>
    </w:tbl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9E5BD9" w:rsidRPr="001533FC" w:rsidRDefault="009E5BD9" w:rsidP="00D153E9">
      <w:pPr>
        <w:rPr>
          <w:rFonts w:eastAsia="Times New Roman"/>
          <w:b/>
          <w:lang w:val="en" w:eastAsia="en-GB"/>
        </w:rPr>
      </w:pPr>
    </w:p>
    <w:sectPr w:rsidR="009E5BD9" w:rsidRPr="001533FC" w:rsidSect="00D10ADA">
      <w:footerReference w:type="default" r:id="rId14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2" w:rsidRDefault="00972FD2" w:rsidP="000B0FE8">
      <w:pPr>
        <w:spacing w:after="0" w:line="240" w:lineRule="auto"/>
      </w:pPr>
      <w:r>
        <w:separator/>
      </w:r>
    </w:p>
  </w:endnote>
  <w:end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2" w:rsidRPr="00CF43E7" w:rsidRDefault="00972FD2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F43E7">
      <w:rPr>
        <w:rFonts w:eastAsiaTheme="majorEastAsia"/>
      </w:rPr>
      <w:t>ESCB/ESAB monitorin</w:t>
    </w:r>
    <w:r w:rsidR="00205F60">
      <w:rPr>
        <w:rFonts w:eastAsiaTheme="majorEastAsia"/>
      </w:rPr>
      <w:t>g and evaluation guide January 2019</w:t>
    </w:r>
    <w:r w:rsidRPr="00CF43E7">
      <w:rPr>
        <w:rFonts w:eastAsiaTheme="majorEastAsia"/>
      </w:rPr>
      <w:ptab w:relativeTo="margin" w:alignment="right" w:leader="none"/>
    </w:r>
    <w:r w:rsidR="00D10ADA">
      <w:rPr>
        <w:rFonts w:eastAsiaTheme="majorEastAsia"/>
      </w:rPr>
      <w:t>Appendix</w:t>
    </w:r>
    <w:r w:rsidRPr="00CF43E7">
      <w:rPr>
        <w:rFonts w:eastAsiaTheme="majorEastAsia"/>
      </w:rPr>
      <w:t xml:space="preserve"> </w:t>
    </w:r>
    <w:r w:rsidR="00E83D91">
      <w:rPr>
        <w:rFonts w:eastAsiaTheme="minorEastAsia"/>
      </w:rPr>
      <w:t>6</w:t>
    </w:r>
  </w:p>
  <w:p w:rsidR="00972FD2" w:rsidRDefault="009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2" w:rsidRDefault="00972FD2" w:rsidP="000B0FE8">
      <w:pPr>
        <w:spacing w:after="0" w:line="240" w:lineRule="auto"/>
      </w:pPr>
      <w:r>
        <w:separator/>
      </w:r>
    </w:p>
  </w:footnote>
  <w:foot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F"/>
    <w:multiLevelType w:val="hybridMultilevel"/>
    <w:tmpl w:val="A03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A43"/>
    <w:multiLevelType w:val="hybridMultilevel"/>
    <w:tmpl w:val="CD3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5C"/>
    <w:multiLevelType w:val="hybridMultilevel"/>
    <w:tmpl w:val="E5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7C1E"/>
    <w:multiLevelType w:val="multilevel"/>
    <w:tmpl w:val="A96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06"/>
    <w:multiLevelType w:val="hybridMultilevel"/>
    <w:tmpl w:val="D88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CB2"/>
    <w:multiLevelType w:val="multilevel"/>
    <w:tmpl w:val="92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6743"/>
    <w:multiLevelType w:val="hybridMultilevel"/>
    <w:tmpl w:val="9C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998"/>
    <w:multiLevelType w:val="hybridMultilevel"/>
    <w:tmpl w:val="6792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898"/>
    <w:multiLevelType w:val="hybridMultilevel"/>
    <w:tmpl w:val="B902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DAF"/>
    <w:multiLevelType w:val="hybridMultilevel"/>
    <w:tmpl w:val="8EDE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4F1"/>
    <w:multiLevelType w:val="hybridMultilevel"/>
    <w:tmpl w:val="78BE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2981"/>
    <w:multiLevelType w:val="multilevel"/>
    <w:tmpl w:val="F98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63C4D"/>
    <w:multiLevelType w:val="multilevel"/>
    <w:tmpl w:val="362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72D4"/>
    <w:multiLevelType w:val="hybridMultilevel"/>
    <w:tmpl w:val="0DE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4221"/>
    <w:multiLevelType w:val="hybridMultilevel"/>
    <w:tmpl w:val="6938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5E0F"/>
    <w:multiLevelType w:val="hybridMultilevel"/>
    <w:tmpl w:val="EA8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D0E"/>
    <w:multiLevelType w:val="multilevel"/>
    <w:tmpl w:val="97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A4BBD"/>
    <w:multiLevelType w:val="hybridMultilevel"/>
    <w:tmpl w:val="A30A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96529"/>
    <w:multiLevelType w:val="hybridMultilevel"/>
    <w:tmpl w:val="52D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3D14"/>
    <w:multiLevelType w:val="hybridMultilevel"/>
    <w:tmpl w:val="B73E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F44FE"/>
    <w:multiLevelType w:val="multilevel"/>
    <w:tmpl w:val="0AE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B136E"/>
    <w:multiLevelType w:val="multilevel"/>
    <w:tmpl w:val="13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D18"/>
    <w:multiLevelType w:val="hybridMultilevel"/>
    <w:tmpl w:val="2D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F41C4"/>
    <w:multiLevelType w:val="hybridMultilevel"/>
    <w:tmpl w:val="A3F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5975"/>
    <w:multiLevelType w:val="multilevel"/>
    <w:tmpl w:val="66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D36F6"/>
    <w:multiLevelType w:val="multilevel"/>
    <w:tmpl w:val="63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E31DD"/>
    <w:multiLevelType w:val="hybridMultilevel"/>
    <w:tmpl w:val="6C5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B4182"/>
    <w:multiLevelType w:val="hybridMultilevel"/>
    <w:tmpl w:val="B8E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87A89"/>
    <w:multiLevelType w:val="hybridMultilevel"/>
    <w:tmpl w:val="731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8478F"/>
    <w:multiLevelType w:val="multilevel"/>
    <w:tmpl w:val="EC2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568B2"/>
    <w:multiLevelType w:val="multilevel"/>
    <w:tmpl w:val="A3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C775D"/>
    <w:multiLevelType w:val="multilevel"/>
    <w:tmpl w:val="D5B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A2428"/>
    <w:multiLevelType w:val="hybridMultilevel"/>
    <w:tmpl w:val="850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93474"/>
    <w:multiLevelType w:val="hybridMultilevel"/>
    <w:tmpl w:val="A72A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0192"/>
    <w:multiLevelType w:val="hybridMultilevel"/>
    <w:tmpl w:val="A96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D3ADA"/>
    <w:multiLevelType w:val="hybridMultilevel"/>
    <w:tmpl w:val="FF7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C04B9"/>
    <w:multiLevelType w:val="hybridMultilevel"/>
    <w:tmpl w:val="C54E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2388"/>
    <w:multiLevelType w:val="hybridMultilevel"/>
    <w:tmpl w:val="A0B8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D41D2"/>
    <w:multiLevelType w:val="multilevel"/>
    <w:tmpl w:val="C3C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30"/>
  </w:num>
  <w:num w:numId="11">
    <w:abstractNumId w:val="31"/>
  </w:num>
  <w:num w:numId="12">
    <w:abstractNumId w:val="3"/>
  </w:num>
  <w:num w:numId="13">
    <w:abstractNumId w:val="38"/>
  </w:num>
  <w:num w:numId="14">
    <w:abstractNumId w:val="6"/>
  </w:num>
  <w:num w:numId="15">
    <w:abstractNumId w:val="19"/>
  </w:num>
  <w:num w:numId="16">
    <w:abstractNumId w:val="17"/>
  </w:num>
  <w:num w:numId="17">
    <w:abstractNumId w:val="35"/>
  </w:num>
  <w:num w:numId="18">
    <w:abstractNumId w:val="0"/>
  </w:num>
  <w:num w:numId="19">
    <w:abstractNumId w:val="23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"/>
  </w:num>
  <w:num w:numId="25">
    <w:abstractNumId w:val="34"/>
  </w:num>
  <w:num w:numId="26">
    <w:abstractNumId w:val="7"/>
  </w:num>
  <w:num w:numId="27">
    <w:abstractNumId w:val="28"/>
  </w:num>
  <w:num w:numId="28">
    <w:abstractNumId w:val="15"/>
  </w:num>
  <w:num w:numId="29">
    <w:abstractNumId w:val="18"/>
  </w:num>
  <w:num w:numId="30">
    <w:abstractNumId w:val="10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27"/>
  </w:num>
  <w:num w:numId="36">
    <w:abstractNumId w:val="9"/>
  </w:num>
  <w:num w:numId="37">
    <w:abstractNumId w:val="37"/>
  </w:num>
  <w:num w:numId="38">
    <w:abstractNumId w:val="1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1"/>
    <w:rsid w:val="00027E3B"/>
    <w:rsid w:val="0003205B"/>
    <w:rsid w:val="0006235C"/>
    <w:rsid w:val="00070EBB"/>
    <w:rsid w:val="00080129"/>
    <w:rsid w:val="000B0FE8"/>
    <w:rsid w:val="000B759A"/>
    <w:rsid w:val="000D0A27"/>
    <w:rsid w:val="000D6D4A"/>
    <w:rsid w:val="00112B65"/>
    <w:rsid w:val="00120CAF"/>
    <w:rsid w:val="0012129B"/>
    <w:rsid w:val="001533FC"/>
    <w:rsid w:val="00161BD6"/>
    <w:rsid w:val="00161C92"/>
    <w:rsid w:val="00171A07"/>
    <w:rsid w:val="001760FF"/>
    <w:rsid w:val="00181794"/>
    <w:rsid w:val="00187247"/>
    <w:rsid w:val="0019061E"/>
    <w:rsid w:val="00193F9A"/>
    <w:rsid w:val="001A0D40"/>
    <w:rsid w:val="001A5C2A"/>
    <w:rsid w:val="0020139B"/>
    <w:rsid w:val="00205F60"/>
    <w:rsid w:val="0021303A"/>
    <w:rsid w:val="00226525"/>
    <w:rsid w:val="00235045"/>
    <w:rsid w:val="002523B0"/>
    <w:rsid w:val="00265D45"/>
    <w:rsid w:val="00282721"/>
    <w:rsid w:val="00293747"/>
    <w:rsid w:val="0029382C"/>
    <w:rsid w:val="00297622"/>
    <w:rsid w:val="002A4A3D"/>
    <w:rsid w:val="002A6215"/>
    <w:rsid w:val="002B5D9B"/>
    <w:rsid w:val="002C081F"/>
    <w:rsid w:val="002C583E"/>
    <w:rsid w:val="002E0319"/>
    <w:rsid w:val="002F770C"/>
    <w:rsid w:val="003035D0"/>
    <w:rsid w:val="00327379"/>
    <w:rsid w:val="00347046"/>
    <w:rsid w:val="0034755C"/>
    <w:rsid w:val="00357E59"/>
    <w:rsid w:val="00366C48"/>
    <w:rsid w:val="00384CEB"/>
    <w:rsid w:val="003B7B9B"/>
    <w:rsid w:val="003F0D33"/>
    <w:rsid w:val="004016D1"/>
    <w:rsid w:val="00402E30"/>
    <w:rsid w:val="00405C71"/>
    <w:rsid w:val="00434FAA"/>
    <w:rsid w:val="004477DF"/>
    <w:rsid w:val="00461440"/>
    <w:rsid w:val="00471BE7"/>
    <w:rsid w:val="00477D04"/>
    <w:rsid w:val="00485C8F"/>
    <w:rsid w:val="004C2FC1"/>
    <w:rsid w:val="004C5B1D"/>
    <w:rsid w:val="004C6A67"/>
    <w:rsid w:val="004F6EF3"/>
    <w:rsid w:val="0051194E"/>
    <w:rsid w:val="00512770"/>
    <w:rsid w:val="00513732"/>
    <w:rsid w:val="00514FB2"/>
    <w:rsid w:val="005245B6"/>
    <w:rsid w:val="00530210"/>
    <w:rsid w:val="00533967"/>
    <w:rsid w:val="00565AF4"/>
    <w:rsid w:val="00574996"/>
    <w:rsid w:val="00585265"/>
    <w:rsid w:val="00592FA0"/>
    <w:rsid w:val="005A6B39"/>
    <w:rsid w:val="005B0EFA"/>
    <w:rsid w:val="005B2026"/>
    <w:rsid w:val="005D473B"/>
    <w:rsid w:val="005F6311"/>
    <w:rsid w:val="00624962"/>
    <w:rsid w:val="00647EE1"/>
    <w:rsid w:val="0066196B"/>
    <w:rsid w:val="00680293"/>
    <w:rsid w:val="006933D2"/>
    <w:rsid w:val="006A6169"/>
    <w:rsid w:val="006A7C88"/>
    <w:rsid w:val="006C579D"/>
    <w:rsid w:val="006D2386"/>
    <w:rsid w:val="0071237C"/>
    <w:rsid w:val="007242C4"/>
    <w:rsid w:val="007541F2"/>
    <w:rsid w:val="007545CA"/>
    <w:rsid w:val="00775F85"/>
    <w:rsid w:val="007A255C"/>
    <w:rsid w:val="007B5E86"/>
    <w:rsid w:val="007C3DEF"/>
    <w:rsid w:val="007C6567"/>
    <w:rsid w:val="007E1BC7"/>
    <w:rsid w:val="007E7E6E"/>
    <w:rsid w:val="0083112B"/>
    <w:rsid w:val="00840140"/>
    <w:rsid w:val="00840D7E"/>
    <w:rsid w:val="0085225B"/>
    <w:rsid w:val="0091210E"/>
    <w:rsid w:val="00917817"/>
    <w:rsid w:val="00972FD2"/>
    <w:rsid w:val="00986C28"/>
    <w:rsid w:val="009C088B"/>
    <w:rsid w:val="009D037B"/>
    <w:rsid w:val="009D0988"/>
    <w:rsid w:val="009D216E"/>
    <w:rsid w:val="009E21A9"/>
    <w:rsid w:val="009E5BD9"/>
    <w:rsid w:val="009E7A4E"/>
    <w:rsid w:val="00A112A2"/>
    <w:rsid w:val="00A17C2B"/>
    <w:rsid w:val="00A253B3"/>
    <w:rsid w:val="00A31115"/>
    <w:rsid w:val="00A350DE"/>
    <w:rsid w:val="00A435FF"/>
    <w:rsid w:val="00A616A1"/>
    <w:rsid w:val="00A62A40"/>
    <w:rsid w:val="00A67D1E"/>
    <w:rsid w:val="00A81923"/>
    <w:rsid w:val="00A83827"/>
    <w:rsid w:val="00A858F9"/>
    <w:rsid w:val="00A9672E"/>
    <w:rsid w:val="00AD23F9"/>
    <w:rsid w:val="00B06595"/>
    <w:rsid w:val="00B16DD8"/>
    <w:rsid w:val="00B2515F"/>
    <w:rsid w:val="00B315C4"/>
    <w:rsid w:val="00B748DD"/>
    <w:rsid w:val="00BA20C2"/>
    <w:rsid w:val="00BC4A21"/>
    <w:rsid w:val="00BE5177"/>
    <w:rsid w:val="00C03DD3"/>
    <w:rsid w:val="00C04A14"/>
    <w:rsid w:val="00C47046"/>
    <w:rsid w:val="00C51516"/>
    <w:rsid w:val="00C86F5F"/>
    <w:rsid w:val="00CA7053"/>
    <w:rsid w:val="00CB0405"/>
    <w:rsid w:val="00CB4F75"/>
    <w:rsid w:val="00CD0BD6"/>
    <w:rsid w:val="00CF43E7"/>
    <w:rsid w:val="00D10ADA"/>
    <w:rsid w:val="00D10BF1"/>
    <w:rsid w:val="00D131D9"/>
    <w:rsid w:val="00D153E9"/>
    <w:rsid w:val="00D4325F"/>
    <w:rsid w:val="00D4497E"/>
    <w:rsid w:val="00D837EB"/>
    <w:rsid w:val="00DA4500"/>
    <w:rsid w:val="00DE026D"/>
    <w:rsid w:val="00E02552"/>
    <w:rsid w:val="00E13651"/>
    <w:rsid w:val="00E16FD7"/>
    <w:rsid w:val="00E249F5"/>
    <w:rsid w:val="00E2585D"/>
    <w:rsid w:val="00E36356"/>
    <w:rsid w:val="00E37419"/>
    <w:rsid w:val="00E47A21"/>
    <w:rsid w:val="00E634B9"/>
    <w:rsid w:val="00E637E5"/>
    <w:rsid w:val="00E83D91"/>
    <w:rsid w:val="00E927E8"/>
    <w:rsid w:val="00E967E4"/>
    <w:rsid w:val="00EA229F"/>
    <w:rsid w:val="00EB3399"/>
    <w:rsid w:val="00EB4534"/>
    <w:rsid w:val="00EB61D4"/>
    <w:rsid w:val="00EC4B8D"/>
    <w:rsid w:val="00EC51BC"/>
    <w:rsid w:val="00EE10EB"/>
    <w:rsid w:val="00EE208B"/>
    <w:rsid w:val="00F13AE0"/>
    <w:rsid w:val="00F36DA6"/>
    <w:rsid w:val="00F43FEA"/>
    <w:rsid w:val="00F5416D"/>
    <w:rsid w:val="00F6043F"/>
    <w:rsid w:val="00F7102C"/>
    <w:rsid w:val="00F80127"/>
    <w:rsid w:val="00F84EAE"/>
    <w:rsid w:val="00F94174"/>
    <w:rsid w:val="00FA33ED"/>
    <w:rsid w:val="00FA6B76"/>
    <w:rsid w:val="00FB378A"/>
    <w:rsid w:val="00FC40D6"/>
    <w:rsid w:val="00FC500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cb.co.uk/media/1808/ecl-supervision-form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cb.co.uk/media/1810/safeguarding-self-assessment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b.co.uk/media/1809/ecl-staff-support-and-record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rveys.essexinsight.org.uk/TakeSurvey.aspx?SurveyID=PostevalL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cb.co.uk/media/1808/ecl-supervision-form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F25D-34EF-400E-8CD6-3A5585CE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chelsey.reynolds</cp:lastModifiedBy>
  <cp:revision>5</cp:revision>
  <cp:lastPrinted>2017-04-11T15:31:00Z</cp:lastPrinted>
  <dcterms:created xsi:type="dcterms:W3CDTF">2019-02-05T15:02:00Z</dcterms:created>
  <dcterms:modified xsi:type="dcterms:W3CDTF">2019-02-05T15:52:00Z</dcterms:modified>
</cp:coreProperties>
</file>